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265A52">
        <w:rPr>
          <w:rFonts w:ascii="Times New Roman" w:hAnsi="Times New Roman" w:cs="Times New Roman"/>
          <w:color w:val="000000" w:themeColor="text1"/>
          <w:sz w:val="24"/>
          <w:szCs w:val="24"/>
        </w:rPr>
        <w:t>Leonel Porto</w:t>
      </w:r>
      <w:r w:rsidR="00ED3A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(trecho 02)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265A52">
        <w:rPr>
          <w:rFonts w:ascii="Times New Roman" w:hAnsi="Times New Roman" w:cs="Times New Roman"/>
          <w:color w:val="000000" w:themeColor="text1"/>
          <w:sz w:val="24"/>
          <w:szCs w:val="24"/>
        </w:rPr>
        <w:t>São José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Pr="0039550C" w:rsidRDefault="00CD69F0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ED3A6E">
        <w:rPr>
          <w:rFonts w:ascii="Times New Roman" w:hAnsi="Times New Roman" w:cs="Times New Roman"/>
          <w:color w:val="000000" w:themeColor="text1"/>
          <w:sz w:val="24"/>
          <w:szCs w:val="24"/>
        </w:rPr>
        <w:t>164.915,54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ED3A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164.915,54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F482E" w:rsidRPr="000A7D7A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612514">
        <w:rPr>
          <w:rFonts w:ascii="Times New Roman" w:hAnsi="Times New Roman" w:cs="Times New Roman"/>
          <w:color w:val="000000" w:themeColor="text1"/>
          <w:sz w:val="24"/>
          <w:szCs w:val="24"/>
        </w:rPr>
        <w:t>agosto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C456E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612514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456E" w:rsidRPr="000A7D7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A7D7A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0A7D7A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D7A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0A7D7A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D7A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0A7D7A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D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0A7D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</w:p>
    <w:p w:rsidR="00760281" w:rsidRPr="000A7D7A" w:rsidRDefault="005C1BB9" w:rsidP="005C1BB9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D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B9184F" w:rsidRPr="000A7D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5079</w:t>
      </w:r>
      <w:r w:rsidR="00760281" w:rsidRPr="000A7D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9550C" w:rsidRPr="00ED3A6E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lastRenderedPageBreak/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50DC" w:rsidRPr="0039550C" w:rsidRDefault="006F482E" w:rsidP="00CD69F0">
      <w:pPr>
        <w:spacing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que se </w:t>
      </w:r>
      <w:r w:rsidR="0039550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referem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aos passeios, esses se tornam fundamentais, pois garantem o trânsito de pedestres com segurança e asseguram a acessibilidade e mobilidade dos usuários.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Capacidade Operacional - A licitante (pessoa jurídica) deve ter experiência na execução de serviço de mesmo caráter e de igual complexidade ou superior, que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540FFA" w:rsidRPr="0039550C">
        <w:rPr>
          <w:color w:val="000000" w:themeColor="text1"/>
          <w:sz w:val="24"/>
          <w:szCs w:val="24"/>
        </w:rPr>
        <w:t>municipais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CB5940" w:rsidRDefault="00CB5940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 outros documentos necessários do início e decorrer da execução do objeto licitado</w:t>
      </w:r>
      <w:r w:rsidRPr="0039550C">
        <w:rPr>
          <w:rFonts w:ascii="Times New Roman" w:hAnsi="Times New Roman" w:cs="Times New Roman"/>
          <w:color w:val="000000" w:themeColor="text1"/>
        </w:rPr>
        <w:t xml:space="preserve">. 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B16ACE" w:rsidRDefault="00B16AC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6ACE" w:rsidRPr="0039550C" w:rsidRDefault="00B16AC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ED3A6E">
        <w:rPr>
          <w:rFonts w:ascii="Times New Roman" w:hAnsi="Times New Roman" w:cs="Times New Roman"/>
          <w:color w:val="000000" w:themeColor="text1"/>
        </w:rPr>
        <w:t>1</w:t>
      </w:r>
      <w:r w:rsidR="00BE6D5F">
        <w:rPr>
          <w:rFonts w:ascii="Times New Roman" w:hAnsi="Times New Roman" w:cs="Times New Roman"/>
          <w:color w:val="000000" w:themeColor="text1"/>
        </w:rPr>
        <w:t>8</w:t>
      </w:r>
      <w:r w:rsidR="00E3294A">
        <w:rPr>
          <w:rFonts w:ascii="Times New Roman" w:hAnsi="Times New Roman" w:cs="Times New Roman"/>
          <w:color w:val="000000" w:themeColor="text1"/>
        </w:rPr>
        <w:t xml:space="preserve"> de novembro</w:t>
      </w:r>
      <w:r w:rsidR="00CB5940">
        <w:rPr>
          <w:rFonts w:ascii="Times New Roman" w:hAnsi="Times New Roman" w:cs="Times New Roman"/>
          <w:color w:val="000000" w:themeColor="text1"/>
        </w:rPr>
        <w:t xml:space="preserve"> de </w:t>
      </w:r>
      <w:r w:rsidR="00D81D4C" w:rsidRPr="0039550C">
        <w:rPr>
          <w:rFonts w:ascii="Times New Roman" w:hAnsi="Times New Roman" w:cs="Times New Roman"/>
          <w:color w:val="000000" w:themeColor="text1"/>
        </w:rPr>
        <w:t>202</w:t>
      </w:r>
      <w:r w:rsidR="0071216F" w:rsidRPr="0039550C">
        <w:rPr>
          <w:rFonts w:ascii="Times New Roman" w:hAnsi="Times New Roman" w:cs="Times New Roman"/>
          <w:color w:val="000000" w:themeColor="text1"/>
        </w:rPr>
        <w:t>1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71216F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r w:rsidR="007540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LUIZ DA SILVA</w:t>
      </w:r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NUNES</w:t>
      </w:r>
      <w:r w:rsidR="007540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ED3A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E6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bookmarkStart w:id="0" w:name="_GoBack"/>
      <w:bookmarkEnd w:id="0"/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E329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1216F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B16ACE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291FBE" w:rsidRDefault="00C150DC" w:rsidP="00B16ACE">
      <w:pPr>
        <w:spacing w:after="0" w:line="360" w:lineRule="auto"/>
        <w:ind w:left="2832"/>
        <w:rPr>
          <w:rFonts w:ascii="Times New Roman" w:hAnsi="Times New Roman" w:cs="Times New Roman"/>
          <w:color w:val="FF0000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941" w:rsidRDefault="00D84941">
      <w:pPr>
        <w:spacing w:after="0" w:line="240" w:lineRule="auto"/>
      </w:pPr>
      <w:r>
        <w:separator/>
      </w:r>
    </w:p>
  </w:endnote>
  <w:endnote w:type="continuationSeparator" w:id="0">
    <w:p w:rsidR="00D84941" w:rsidRDefault="00D8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27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27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941" w:rsidRDefault="00D84941">
      <w:pPr>
        <w:spacing w:after="0" w:line="240" w:lineRule="auto"/>
      </w:pPr>
      <w:r>
        <w:separator/>
      </w:r>
    </w:p>
  </w:footnote>
  <w:footnote w:type="continuationSeparator" w:id="0">
    <w:p w:rsidR="00D84941" w:rsidRDefault="00D84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1110F"/>
    <w:rsid w:val="0004348E"/>
    <w:rsid w:val="000A7D7A"/>
    <w:rsid w:val="00115436"/>
    <w:rsid w:val="00174261"/>
    <w:rsid w:val="001D4122"/>
    <w:rsid w:val="002648DE"/>
    <w:rsid w:val="00265A52"/>
    <w:rsid w:val="00291FBE"/>
    <w:rsid w:val="00296011"/>
    <w:rsid w:val="002D1093"/>
    <w:rsid w:val="002E0D6F"/>
    <w:rsid w:val="002E282A"/>
    <w:rsid w:val="00390829"/>
    <w:rsid w:val="0039550C"/>
    <w:rsid w:val="004400CA"/>
    <w:rsid w:val="0047494A"/>
    <w:rsid w:val="004F22AC"/>
    <w:rsid w:val="00540FFA"/>
    <w:rsid w:val="00547817"/>
    <w:rsid w:val="005C1BB9"/>
    <w:rsid w:val="005E2D99"/>
    <w:rsid w:val="005F0B0B"/>
    <w:rsid w:val="00601E85"/>
    <w:rsid w:val="00612514"/>
    <w:rsid w:val="0066657B"/>
    <w:rsid w:val="006E5FF0"/>
    <w:rsid w:val="006F482E"/>
    <w:rsid w:val="0071216F"/>
    <w:rsid w:val="0075408D"/>
    <w:rsid w:val="007546E1"/>
    <w:rsid w:val="00760281"/>
    <w:rsid w:val="0076279B"/>
    <w:rsid w:val="007E1E51"/>
    <w:rsid w:val="00845745"/>
    <w:rsid w:val="0087100B"/>
    <w:rsid w:val="00922DEE"/>
    <w:rsid w:val="00933C5A"/>
    <w:rsid w:val="00973272"/>
    <w:rsid w:val="009D1F10"/>
    <w:rsid w:val="00A019D9"/>
    <w:rsid w:val="00A32833"/>
    <w:rsid w:val="00A9657F"/>
    <w:rsid w:val="00AC4B0C"/>
    <w:rsid w:val="00AC4C91"/>
    <w:rsid w:val="00B16ACE"/>
    <w:rsid w:val="00B9184F"/>
    <w:rsid w:val="00BA7F21"/>
    <w:rsid w:val="00BD0AF6"/>
    <w:rsid w:val="00BE6D5F"/>
    <w:rsid w:val="00C150DC"/>
    <w:rsid w:val="00C754C6"/>
    <w:rsid w:val="00CB5940"/>
    <w:rsid w:val="00CD69F0"/>
    <w:rsid w:val="00D308EB"/>
    <w:rsid w:val="00D65F8B"/>
    <w:rsid w:val="00D81D4C"/>
    <w:rsid w:val="00D84941"/>
    <w:rsid w:val="00D90D09"/>
    <w:rsid w:val="00D972B9"/>
    <w:rsid w:val="00DA2DFE"/>
    <w:rsid w:val="00E3294A"/>
    <w:rsid w:val="00E43CC8"/>
    <w:rsid w:val="00EC456E"/>
    <w:rsid w:val="00ED3A6E"/>
    <w:rsid w:val="00FA3144"/>
    <w:rsid w:val="00F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5B67-A6C0-41E5-ACD9-9B49B18F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1339</Words>
  <Characters>7235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35</cp:revision>
  <cp:lastPrinted>2021-11-18T16:51:00Z</cp:lastPrinted>
  <dcterms:created xsi:type="dcterms:W3CDTF">2020-05-12T16:05:00Z</dcterms:created>
  <dcterms:modified xsi:type="dcterms:W3CDTF">2021-11-18T16:53:00Z</dcterms:modified>
</cp:coreProperties>
</file>